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COTIZACIOn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TOYOTa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685310" w:rsidRDefault="004B2C3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LLANTA CON RIN NUEVOS SOLIDA </w:t>
      </w:r>
    </w:p>
    <w:p w:rsidR="004B2C38" w:rsidRDefault="004B2C3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NEUMATICA.                                                  $ 4,300.00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994935">
        <w:rPr>
          <w:rFonts w:ascii="Arial Rounded MT Bold" w:hAnsi="Arial Rounded MT Bold"/>
          <w:sz w:val="24"/>
          <w:szCs w:val="24"/>
        </w:rPr>
        <w:t xml:space="preserve">                   </w:t>
      </w:r>
      <w:r w:rsidR="004B2C38">
        <w:rPr>
          <w:rFonts w:ascii="Arial Rounded MT Bold" w:hAnsi="Arial Rounded MT Bold"/>
          <w:sz w:val="24"/>
          <w:szCs w:val="24"/>
        </w:rPr>
        <w:t xml:space="preserve">  $ 4,300.00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4B2C38">
        <w:rPr>
          <w:rFonts w:ascii="Arial Rounded MT Bold" w:hAnsi="Arial Rounded MT Bold"/>
          <w:sz w:val="24"/>
          <w:szCs w:val="24"/>
        </w:rPr>
        <w:t xml:space="preserve">                     $    688.00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</w:t>
      </w:r>
      <w:r w:rsidR="004B2C38">
        <w:rPr>
          <w:rFonts w:ascii="Arial Rounded MT Bold" w:hAnsi="Arial Rounded MT Bold"/>
          <w:sz w:val="24"/>
          <w:szCs w:val="24"/>
        </w:rPr>
        <w:t>4,988.0</w:t>
      </w:r>
      <w:bookmarkStart w:id="0" w:name="_GoBack"/>
      <w:bookmarkEnd w:id="0"/>
      <w:r w:rsidR="003D0F76">
        <w:rPr>
          <w:rFonts w:ascii="Arial Rounded MT Bold" w:hAnsi="Arial Rounded MT Bold"/>
          <w:sz w:val="24"/>
          <w:szCs w:val="24"/>
        </w:rPr>
        <w:t>0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9B" w:rsidRDefault="001F679B" w:rsidP="00CD5516">
      <w:pPr>
        <w:spacing w:after="0" w:line="240" w:lineRule="auto"/>
      </w:pPr>
      <w:r>
        <w:separator/>
      </w:r>
    </w:p>
  </w:endnote>
  <w:endnote w:type="continuationSeparator" w:id="0">
    <w:p w:rsidR="001F679B" w:rsidRDefault="001F679B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9B" w:rsidRDefault="001F679B" w:rsidP="00CD5516">
      <w:pPr>
        <w:spacing w:after="0" w:line="240" w:lineRule="auto"/>
      </w:pPr>
      <w:r>
        <w:separator/>
      </w:r>
    </w:p>
  </w:footnote>
  <w:footnote w:type="continuationSeparator" w:id="0">
    <w:p w:rsidR="001F679B" w:rsidRDefault="001F679B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1F679B"/>
    <w:rsid w:val="00221393"/>
    <w:rsid w:val="003B5F8C"/>
    <w:rsid w:val="003D0F76"/>
    <w:rsid w:val="00404ADE"/>
    <w:rsid w:val="004B2C38"/>
    <w:rsid w:val="004C72BC"/>
    <w:rsid w:val="004F7DE3"/>
    <w:rsid w:val="005532E4"/>
    <w:rsid w:val="005C522C"/>
    <w:rsid w:val="00685310"/>
    <w:rsid w:val="006D0F23"/>
    <w:rsid w:val="00726E6E"/>
    <w:rsid w:val="00801E84"/>
    <w:rsid w:val="00817030"/>
    <w:rsid w:val="008F5D3D"/>
    <w:rsid w:val="00994935"/>
    <w:rsid w:val="00A50958"/>
    <w:rsid w:val="00A707C2"/>
    <w:rsid w:val="00B2032B"/>
    <w:rsid w:val="00C824BA"/>
    <w:rsid w:val="00CD5516"/>
    <w:rsid w:val="00D07763"/>
    <w:rsid w:val="00D3036E"/>
    <w:rsid w:val="00E63F71"/>
    <w:rsid w:val="00EF387C"/>
    <w:rsid w:val="00F339EE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611A-321D-4430-86F8-5E0CF1FB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2018-10-13T17:55:00Z</dcterms:created>
  <dcterms:modified xsi:type="dcterms:W3CDTF">2018-10-13T17:55:00Z</dcterms:modified>
</cp:coreProperties>
</file>